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2B5CF" w14:textId="77777777" w:rsidR="00582EBA" w:rsidRPr="00582EBA" w:rsidRDefault="00582EBA" w:rsidP="00553C44">
      <w:pPr>
        <w:ind w:left="-284" w:right="-284"/>
        <w:rPr>
          <w:b/>
          <w:bCs/>
          <w:sz w:val="28"/>
          <w:szCs w:val="28"/>
        </w:rPr>
      </w:pPr>
      <w:r w:rsidRPr="00582EBA">
        <w:rPr>
          <w:b/>
          <w:bCs/>
          <w:sz w:val="28"/>
          <w:szCs w:val="28"/>
        </w:rPr>
        <w:t>ARCOTEL Tabakfabrik Linz</w:t>
      </w:r>
    </w:p>
    <w:p w14:paraId="6E83D352" w14:textId="77777777" w:rsidR="00366E06" w:rsidRDefault="00C273B0" w:rsidP="00553C44">
      <w:pPr>
        <w:ind w:left="-284" w:right="-284"/>
        <w:rPr>
          <w:b/>
          <w:bCs/>
        </w:rPr>
      </w:pPr>
      <w:r w:rsidRPr="00C273B0">
        <w:rPr>
          <w:b/>
          <w:bCs/>
        </w:rPr>
        <w:t>Hotel als Baustein der Quartierstransformation</w:t>
      </w:r>
    </w:p>
    <w:p w14:paraId="4D7C3A03" w14:textId="130629F2" w:rsidR="00C273B0" w:rsidRPr="00C273B0" w:rsidRDefault="00C273B0" w:rsidP="00553C44">
      <w:pPr>
        <w:ind w:left="-284" w:right="-284"/>
      </w:pPr>
      <w:r w:rsidRPr="00C273B0">
        <w:t>Mit dem ARCOTEL Tabakfabrik entstand im Linzer QUADRILL-Quartier ein Hotel, das die Transformation des historischen Industrieareals nicht nur ergänzt, sondern atmosphärisch präzisiert. Als Teil der von Zechner &amp; Zechner entwickelten Quartiersstruktur fungiert es als zentraler Baustein eines vertikal organisierten, hybriden Stadtgefüges – zugleich Rückzugsort, sozialer Treffpunkt und öffentlicher Resonanzraum.</w:t>
      </w:r>
    </w:p>
    <w:p w14:paraId="4A4BA0E4" w14:textId="77777777" w:rsidR="00366E06" w:rsidRDefault="00C273B0" w:rsidP="00553C44">
      <w:pPr>
        <w:ind w:left="-284" w:right="-284"/>
        <w:rPr>
          <w:b/>
          <w:bCs/>
        </w:rPr>
      </w:pPr>
      <w:r w:rsidRPr="00C273B0">
        <w:rPr>
          <w:b/>
          <w:bCs/>
        </w:rPr>
        <w:t>Innenarchitektur als atmosphärischer Übersetzer</w:t>
      </w:r>
    </w:p>
    <w:p w14:paraId="31CA5830" w14:textId="38665EB2" w:rsidR="00C273B0" w:rsidRPr="00C273B0" w:rsidRDefault="00C273B0" w:rsidP="00553C44">
      <w:pPr>
        <w:ind w:left="-284" w:right="-284"/>
      </w:pPr>
      <w:r w:rsidRPr="00C273B0">
        <w:t>Die Innenarchitektur von Monika Breu übersetzt den industriellen Kontext der denkmalgeschützten Tabakfabrik in eine zeitgenössische Architektursprache. Das Hotel wird damit zum kuratierten Erlebnisraum, der Materialität, Geschichte und urbane Dynamik miteinander verschränkt.</w:t>
      </w:r>
    </w:p>
    <w:p w14:paraId="238AD2B1" w14:textId="77777777" w:rsidR="00366E06" w:rsidRDefault="00C273B0" w:rsidP="00553C44">
      <w:pPr>
        <w:ind w:left="-284" w:right="-284"/>
        <w:rPr>
          <w:b/>
          <w:bCs/>
        </w:rPr>
      </w:pPr>
      <w:r w:rsidRPr="00C273B0">
        <w:rPr>
          <w:b/>
          <w:bCs/>
        </w:rPr>
        <w:t>Zweigeschossige Organisation und Nutzungsschichtung</w:t>
      </w:r>
    </w:p>
    <w:p w14:paraId="3AA5EDC6" w14:textId="7E371E1A" w:rsidR="00C273B0" w:rsidRPr="00C273B0" w:rsidRDefault="00C273B0" w:rsidP="00553C44">
      <w:pPr>
        <w:ind w:left="-284" w:right="-284"/>
      </w:pPr>
      <w:r w:rsidRPr="00C273B0">
        <w:t>Das räumliche Konzept basiert auf einer zweigeschossigen öffentlichen Struktur: Die Lobby im Erdgeschoss bildet einen offenen Zugang, während sich im ersten Obergeschoss Restaurant-, Seminar- und Veranstaltungsflächen mit direkten Außenbezügen zum „Behrensband“ entwickeln. Diese Staffelung ermöglicht differenzierte Nutzungsgrade – von öffentlich bis halbprivat. Ergänzt wird das Angebot durch einen Fitnessbereich mit Terrasse.</w:t>
      </w:r>
    </w:p>
    <w:p w14:paraId="3D1AC2CB" w14:textId="77777777" w:rsidR="00366E06" w:rsidRDefault="00C273B0" w:rsidP="00553C44">
      <w:pPr>
        <w:ind w:left="-284" w:right="-284"/>
        <w:rPr>
          <w:b/>
          <w:bCs/>
        </w:rPr>
      </w:pPr>
      <w:r w:rsidRPr="00C273B0">
        <w:rPr>
          <w:b/>
          <w:bCs/>
        </w:rPr>
        <w:t>Seminarzentrum als Schnittstelle im Quartier</w:t>
      </w:r>
    </w:p>
    <w:p w14:paraId="0A9F9196" w14:textId="62DFC1CD" w:rsidR="00C273B0" w:rsidRPr="00C273B0" w:rsidRDefault="00C273B0" w:rsidP="00553C44">
      <w:pPr>
        <w:ind w:left="-284" w:right="-284"/>
      </w:pPr>
      <w:r w:rsidRPr="00C273B0">
        <w:t>Das rund 1.000 m² große Veranstaltungszentrum fungiert als Schnittstelle zwischen Hotel und Quartier. Flexible Räume, ein lichtdurchflutetes Foyer mit künstlerischem Lichtobjekt und direkte Außenräume schaffen optimale Bedingungen für Austauschformate zwischen Wirtschaft, Wissenschaft und Kreativszene.</w:t>
      </w:r>
    </w:p>
    <w:p w14:paraId="791A9CE1" w14:textId="77777777" w:rsidR="00366E06" w:rsidRDefault="00C273B0" w:rsidP="00553C44">
      <w:pPr>
        <w:ind w:left="-284" w:right="-284"/>
        <w:rPr>
          <w:b/>
          <w:bCs/>
        </w:rPr>
      </w:pPr>
      <w:r w:rsidRPr="00C273B0">
        <w:rPr>
          <w:b/>
          <w:bCs/>
        </w:rPr>
        <w:t>Zimmerkonzept – Dualität von Rohheit und Eleganz</w:t>
      </w:r>
    </w:p>
    <w:p w14:paraId="26A0D400" w14:textId="5F69CE42" w:rsidR="00C273B0" w:rsidRPr="00C273B0" w:rsidRDefault="00C273B0" w:rsidP="00553C44">
      <w:pPr>
        <w:ind w:left="-284" w:right="-284"/>
      </w:pPr>
      <w:r w:rsidRPr="00C273B0">
        <w:t>Die 189 Zimmer im Tower folgen einer klaren gestalterischen Dualität: industrielle Rohheit trifft auf wohnliche Eleganz. Sichtbeton, offene Installationen und metallische Elemente verweisen auf den Bestand, während Holz, Textilien und präzise Lichtführung eine ruhige, warme Atmosphäre erzeugen. Charakteristisch sind bronzefarbene Metallketten als flexible Raumteiler der offenen Badbereiche – ein subtiler Bezug zur Geschichte des Ortes.</w:t>
      </w:r>
    </w:p>
    <w:p w14:paraId="1BA0C5F0" w14:textId="77777777" w:rsidR="000F259E" w:rsidRDefault="00C273B0" w:rsidP="00553C44">
      <w:pPr>
        <w:ind w:left="-284" w:right="-284"/>
        <w:rPr>
          <w:b/>
          <w:bCs/>
        </w:rPr>
      </w:pPr>
      <w:r w:rsidRPr="00C273B0">
        <w:rPr>
          <w:b/>
          <w:bCs/>
        </w:rPr>
        <w:t>Q27 Rooftop – Vertikale Öffentlichkeit und Stadterlebnis</w:t>
      </w:r>
    </w:p>
    <w:p w14:paraId="02F1D9CC" w14:textId="53987A83" w:rsidR="00C273B0" w:rsidRPr="00C273B0" w:rsidRDefault="00C273B0" w:rsidP="00553C44">
      <w:pPr>
        <w:ind w:left="-284" w:right="-284"/>
      </w:pPr>
      <w:r w:rsidRPr="00C273B0">
        <w:t>Mit dem Rooftop „Q27“ im 27. Obergeschoss erhält das Hotel einen öffentlich wirksamen Höhepunkt. Restaurant, Bar, Lounge und Terrasse sind als offene Raumlandschaft organisiert und ermöglichen einen 360-Grad-Blick über Linz. Eine zentrale Bar, offene Küchenstrukturen und inszenierte Lichtinstallationen definieren den Raum. Großzügige Verglasungen und eine lichtmodulierende Decke schaffen ein wandelbares Ambiente für Gastronomie und Events.</w:t>
      </w:r>
    </w:p>
    <w:p w14:paraId="27852F17" w14:textId="77777777" w:rsidR="00366E06" w:rsidRDefault="00C273B0" w:rsidP="00553C44">
      <w:pPr>
        <w:ind w:left="-284" w:right="-284"/>
        <w:rPr>
          <w:b/>
          <w:bCs/>
        </w:rPr>
      </w:pPr>
      <w:r w:rsidRPr="00C273B0">
        <w:rPr>
          <w:b/>
          <w:bCs/>
        </w:rPr>
        <w:t>Hotel als hybride Typologie</w:t>
      </w:r>
    </w:p>
    <w:p w14:paraId="133D19C4" w14:textId="080AF5D2" w:rsidR="00C273B0" w:rsidRPr="00C273B0" w:rsidRDefault="00C273B0" w:rsidP="00553C44">
      <w:pPr>
        <w:ind w:left="-284" w:right="-284"/>
      </w:pPr>
      <w:r w:rsidRPr="00C273B0">
        <w:t>Im Kontext des QUADRILL-Quartiers übernimmt das Hotel eine Schlüsselrolle innerhalb einer dichten Nutzungsmischung. Es verbindet Unterkunft, Arbeiten und öffentliche Programme zu einer hybriden Typologie. Die Innenarchitektur reagiert darauf mit einem fein abgestuften Gefüge aus offenen, halböffentlichen und privaten Räumen.</w:t>
      </w:r>
    </w:p>
    <w:p w14:paraId="2289F1B7" w14:textId="77777777" w:rsidR="00366E06" w:rsidRDefault="00C273B0" w:rsidP="00553C44">
      <w:pPr>
        <w:ind w:left="-284" w:right="-284"/>
        <w:rPr>
          <w:b/>
          <w:bCs/>
        </w:rPr>
      </w:pPr>
      <w:r w:rsidRPr="00C273B0">
        <w:rPr>
          <w:b/>
          <w:bCs/>
        </w:rPr>
        <w:t>Nachhaltigkeit und langfristige Adaptierbarkeit</w:t>
      </w:r>
    </w:p>
    <w:p w14:paraId="2A121F97" w14:textId="44343960" w:rsidR="00C273B0" w:rsidRDefault="00C273B0" w:rsidP="00553C44">
      <w:pPr>
        <w:ind w:left="-284" w:right="-284"/>
      </w:pPr>
      <w:r w:rsidRPr="00C273B0">
        <w:t>Nachhaltigkeit ist integraler Bestandteil des Entwurfs: energieeffiziente Systeme, langlebige Materialien und flexible Nutzungsstrukturen sichern die langfristige Adaptierbarkeit. So entsteht ein Hotel, das über klassische Typologien hinausgeht – als präzise gestalteter Ort zwischen Industriegeschichte und urbaner Gegenwart.</w:t>
      </w:r>
    </w:p>
    <w:p w14:paraId="20910BA7" w14:textId="77777777" w:rsidR="000641CB" w:rsidRDefault="000641CB" w:rsidP="000641CB">
      <w:pPr>
        <w:ind w:left="-284" w:right="-284"/>
      </w:pPr>
    </w:p>
    <w:p w14:paraId="5E1BFE38" w14:textId="77777777" w:rsidR="000641CB" w:rsidRDefault="000641CB" w:rsidP="000641CB">
      <w:pPr>
        <w:pStyle w:val="KeinLeerraum"/>
        <w:ind w:left="-284"/>
        <w:rPr>
          <w:rFonts w:asciiTheme="minorHAnsi" w:hAnsiTheme="minorHAnsi" w:cstheme="minorHAnsi"/>
        </w:rPr>
      </w:pPr>
      <w:r w:rsidRPr="000F07B4">
        <w:rPr>
          <w:rFonts w:asciiTheme="minorHAnsi" w:hAnsiTheme="minorHAnsi" w:cstheme="minorHAnsi"/>
        </w:rPr>
        <w:t>Adresse:</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r>
      <w:r>
        <w:rPr>
          <w:rFonts w:asciiTheme="minorHAnsi" w:hAnsiTheme="minorHAnsi" w:cstheme="minorHAnsi"/>
        </w:rPr>
        <w:t xml:space="preserve">Arcotel Tabakfabrik, </w:t>
      </w:r>
      <w:r w:rsidRPr="000F07B4">
        <w:rPr>
          <w:rFonts w:asciiTheme="minorHAnsi" w:hAnsiTheme="minorHAnsi" w:cstheme="minorHAnsi"/>
        </w:rPr>
        <w:t>Gruberstraße</w:t>
      </w:r>
      <w:r>
        <w:rPr>
          <w:rFonts w:asciiTheme="minorHAnsi" w:hAnsiTheme="minorHAnsi" w:cstheme="minorHAnsi"/>
        </w:rPr>
        <w:t xml:space="preserve"> 1</w:t>
      </w:r>
      <w:r w:rsidRPr="000F07B4">
        <w:rPr>
          <w:rFonts w:asciiTheme="minorHAnsi" w:hAnsiTheme="minorHAnsi" w:cstheme="minorHAnsi"/>
        </w:rPr>
        <w:t>, 4020 Linz</w:t>
      </w:r>
    </w:p>
    <w:p w14:paraId="72F489E0" w14:textId="77777777" w:rsidR="000641CB" w:rsidRPr="000F07B4" w:rsidRDefault="000641CB" w:rsidP="000641CB">
      <w:pPr>
        <w:pStyle w:val="KeinLeerraum"/>
        <w:ind w:left="-284"/>
        <w:rPr>
          <w:rFonts w:asciiTheme="minorHAnsi" w:hAnsiTheme="minorHAnsi" w:cstheme="minorHAnsi"/>
        </w:rPr>
      </w:pPr>
      <w:r>
        <w:rPr>
          <w:rFonts w:asciiTheme="minorHAnsi" w:hAnsiTheme="minorHAnsi" w:cstheme="minorHAnsi"/>
        </w:rPr>
        <w:t>Hotelbetreiber:</w:t>
      </w:r>
      <w:r>
        <w:rPr>
          <w:rFonts w:asciiTheme="minorHAnsi" w:hAnsiTheme="minorHAnsi" w:cstheme="minorHAnsi"/>
        </w:rPr>
        <w:tab/>
      </w:r>
      <w:r>
        <w:rPr>
          <w:rFonts w:asciiTheme="minorHAnsi" w:hAnsiTheme="minorHAnsi" w:cstheme="minorHAnsi"/>
        </w:rPr>
        <w:tab/>
        <w:t>Arcotel Hotel und Resorts; Arcotel Tabakfabrik Linz; E: tabakfabrik@arcotel.com</w:t>
      </w:r>
    </w:p>
    <w:p w14:paraId="2A5A46EB" w14:textId="77777777" w:rsidR="000641CB" w:rsidRPr="000F07B4" w:rsidRDefault="000641CB" w:rsidP="000641CB">
      <w:pPr>
        <w:pStyle w:val="KeinLeerraum"/>
        <w:ind w:left="-284"/>
        <w:rPr>
          <w:rFonts w:asciiTheme="minorHAnsi" w:hAnsiTheme="minorHAnsi" w:cstheme="minorHAnsi"/>
        </w:rPr>
      </w:pPr>
      <w:r w:rsidRPr="000F07B4">
        <w:rPr>
          <w:rFonts w:asciiTheme="minorHAnsi" w:hAnsiTheme="minorHAnsi" w:cstheme="minorHAnsi"/>
        </w:rPr>
        <w:t>Bauherr:</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Bodner Gruppe, Kufstein</w:t>
      </w:r>
    </w:p>
    <w:p w14:paraId="645F789D" w14:textId="77777777" w:rsidR="000641CB" w:rsidRPr="000F07B4" w:rsidRDefault="000641CB" w:rsidP="000641CB">
      <w:pPr>
        <w:pStyle w:val="KeinLeerraum"/>
        <w:ind w:left="-284"/>
        <w:rPr>
          <w:rFonts w:asciiTheme="minorHAnsi" w:hAnsiTheme="minorHAnsi" w:cstheme="minorHAnsi"/>
        </w:rPr>
      </w:pPr>
      <w:r w:rsidRPr="000F07B4">
        <w:rPr>
          <w:rFonts w:asciiTheme="minorHAnsi" w:hAnsiTheme="minorHAnsi" w:cstheme="minorHAnsi"/>
        </w:rPr>
        <w:t>Generalplanung:</w:t>
      </w:r>
      <w:r w:rsidRPr="000F07B4">
        <w:rPr>
          <w:rFonts w:asciiTheme="minorHAnsi" w:hAnsiTheme="minorHAnsi" w:cstheme="minorHAnsi"/>
        </w:rPr>
        <w:tab/>
      </w:r>
      <w:r w:rsidRPr="000F07B4">
        <w:rPr>
          <w:rFonts w:asciiTheme="minorHAnsi" w:hAnsiTheme="minorHAnsi" w:cstheme="minorHAnsi"/>
        </w:rPr>
        <w:tab/>
        <w:t>Zechner &amp; Zechner, Wien</w:t>
      </w:r>
    </w:p>
    <w:p w14:paraId="3DA317AC" w14:textId="19E0C0AA" w:rsidR="000641CB" w:rsidRPr="000F07B4" w:rsidRDefault="000641CB" w:rsidP="000641CB">
      <w:pPr>
        <w:pStyle w:val="KeinLeerraum"/>
        <w:ind w:left="-284"/>
        <w:rPr>
          <w:rFonts w:asciiTheme="minorHAnsi" w:hAnsiTheme="minorHAnsi" w:cstheme="minorHAnsi"/>
        </w:rPr>
      </w:pPr>
      <w:r>
        <w:rPr>
          <w:rFonts w:asciiTheme="minorHAnsi" w:hAnsiTheme="minorHAnsi" w:cstheme="minorHAnsi"/>
        </w:rPr>
        <w:tab/>
      </w:r>
      <w:r w:rsidRPr="000F07B4">
        <w:rPr>
          <w:rFonts w:asciiTheme="minorHAnsi" w:hAnsiTheme="minorHAnsi" w:cstheme="minorHAnsi"/>
        </w:rPr>
        <w:tab/>
        <w:t>Statik:</w:t>
      </w:r>
      <w:r w:rsidRPr="000F07B4">
        <w:rPr>
          <w:rFonts w:asciiTheme="minorHAnsi" w:hAnsiTheme="minorHAnsi" w:cstheme="minorHAnsi"/>
        </w:rPr>
        <w:tab/>
      </w:r>
      <w:r w:rsidRPr="000F07B4">
        <w:rPr>
          <w:rFonts w:asciiTheme="minorHAnsi" w:hAnsiTheme="minorHAnsi" w:cstheme="minorHAnsi"/>
        </w:rPr>
        <w:tab/>
      </w:r>
      <w:r>
        <w:rPr>
          <w:rFonts w:asciiTheme="minorHAnsi" w:hAnsiTheme="minorHAnsi" w:cstheme="minorHAnsi"/>
        </w:rPr>
        <w:tab/>
      </w:r>
      <w:r w:rsidRPr="000F07B4">
        <w:rPr>
          <w:rFonts w:asciiTheme="minorHAnsi" w:hAnsiTheme="minorHAnsi" w:cstheme="minorHAnsi"/>
        </w:rPr>
        <w:t>Thomas Lorenz ZT, Graz</w:t>
      </w:r>
    </w:p>
    <w:p w14:paraId="34CFE5E5" w14:textId="5E4BE883" w:rsidR="000641CB" w:rsidRPr="000F07B4" w:rsidRDefault="000641CB" w:rsidP="000641CB">
      <w:pPr>
        <w:pStyle w:val="KeinLeerraum"/>
        <w:ind w:left="-284"/>
        <w:rPr>
          <w:rFonts w:asciiTheme="minorHAnsi" w:hAnsiTheme="minorHAnsi" w:cstheme="minorHAnsi"/>
        </w:rPr>
      </w:pPr>
      <w:r>
        <w:rPr>
          <w:rFonts w:asciiTheme="minorHAnsi" w:hAnsiTheme="minorHAnsi" w:cstheme="minorHAnsi"/>
        </w:rPr>
        <w:tab/>
      </w:r>
      <w:r w:rsidRPr="000F07B4">
        <w:rPr>
          <w:rFonts w:asciiTheme="minorHAnsi" w:hAnsiTheme="minorHAnsi" w:cstheme="minorHAnsi"/>
        </w:rPr>
        <w:tab/>
        <w:t>TGA:</w:t>
      </w:r>
      <w:r w:rsidRPr="000F07B4">
        <w:rPr>
          <w:rFonts w:asciiTheme="minorHAnsi" w:hAnsiTheme="minorHAnsi" w:cstheme="minorHAnsi"/>
        </w:rPr>
        <w:tab/>
      </w:r>
      <w:r w:rsidRPr="000F07B4">
        <w:rPr>
          <w:rFonts w:asciiTheme="minorHAnsi" w:hAnsiTheme="minorHAnsi" w:cstheme="minorHAnsi"/>
        </w:rPr>
        <w:tab/>
      </w:r>
      <w:r>
        <w:rPr>
          <w:rFonts w:asciiTheme="minorHAnsi" w:hAnsiTheme="minorHAnsi" w:cstheme="minorHAnsi"/>
        </w:rPr>
        <w:tab/>
      </w:r>
      <w:r w:rsidRPr="000F07B4">
        <w:rPr>
          <w:rFonts w:asciiTheme="minorHAnsi" w:hAnsiTheme="minorHAnsi" w:cstheme="minorHAnsi"/>
        </w:rPr>
        <w:t>Die Haustechniker, Jennersdorf</w:t>
      </w:r>
    </w:p>
    <w:p w14:paraId="26B355D0" w14:textId="2123D09E" w:rsidR="000641CB" w:rsidRPr="000F07B4" w:rsidRDefault="000641CB" w:rsidP="000641CB">
      <w:pPr>
        <w:pStyle w:val="KeinLeerraum"/>
        <w:ind w:left="-284"/>
        <w:rPr>
          <w:rFonts w:asciiTheme="minorHAnsi" w:hAnsiTheme="minorHAnsi" w:cstheme="minorHAnsi"/>
        </w:rPr>
      </w:pPr>
      <w:r>
        <w:rPr>
          <w:rFonts w:asciiTheme="minorHAnsi" w:hAnsiTheme="minorHAnsi" w:cstheme="minorHAnsi"/>
        </w:rPr>
        <w:tab/>
      </w:r>
      <w:r w:rsidRPr="000F07B4">
        <w:rPr>
          <w:rFonts w:asciiTheme="minorHAnsi" w:hAnsiTheme="minorHAnsi" w:cstheme="minorHAnsi"/>
        </w:rPr>
        <w:tab/>
        <w:t>Bauphysik:</w:t>
      </w:r>
      <w:r w:rsidRPr="000F07B4">
        <w:rPr>
          <w:rFonts w:asciiTheme="minorHAnsi" w:hAnsiTheme="minorHAnsi" w:cstheme="minorHAnsi"/>
        </w:rPr>
        <w:tab/>
      </w:r>
      <w:r>
        <w:rPr>
          <w:rFonts w:asciiTheme="minorHAnsi" w:hAnsiTheme="minorHAnsi" w:cstheme="minorHAnsi"/>
        </w:rPr>
        <w:tab/>
      </w:r>
      <w:r w:rsidRPr="000F07B4">
        <w:rPr>
          <w:rFonts w:asciiTheme="minorHAnsi" w:hAnsiTheme="minorHAnsi" w:cstheme="minorHAnsi"/>
        </w:rPr>
        <w:t>Dr. Pfeiler, Graz</w:t>
      </w:r>
    </w:p>
    <w:p w14:paraId="48EFDB50" w14:textId="76070DDE" w:rsidR="000641CB" w:rsidRPr="000F07B4" w:rsidRDefault="000641CB" w:rsidP="000641CB">
      <w:pPr>
        <w:pStyle w:val="KeinLeerraum"/>
        <w:ind w:left="-284"/>
        <w:rPr>
          <w:rFonts w:asciiTheme="minorHAnsi" w:hAnsiTheme="minorHAnsi" w:cstheme="minorHAnsi"/>
        </w:rPr>
      </w:pPr>
      <w:r>
        <w:rPr>
          <w:rFonts w:asciiTheme="minorHAnsi" w:hAnsiTheme="minorHAnsi" w:cstheme="minorHAnsi"/>
        </w:rPr>
        <w:tab/>
      </w:r>
      <w:r w:rsidRPr="000F07B4">
        <w:rPr>
          <w:rFonts w:asciiTheme="minorHAnsi" w:hAnsiTheme="minorHAnsi" w:cstheme="minorHAnsi"/>
        </w:rPr>
        <w:tab/>
        <w:t>Brandschutz:</w:t>
      </w:r>
      <w:r w:rsidRPr="000F07B4">
        <w:rPr>
          <w:rFonts w:asciiTheme="minorHAnsi" w:hAnsiTheme="minorHAnsi" w:cstheme="minorHAnsi"/>
        </w:rPr>
        <w:tab/>
      </w:r>
      <w:r>
        <w:rPr>
          <w:rFonts w:asciiTheme="minorHAnsi" w:hAnsiTheme="minorHAnsi" w:cstheme="minorHAnsi"/>
        </w:rPr>
        <w:tab/>
      </w:r>
      <w:r w:rsidRPr="000F07B4">
        <w:rPr>
          <w:rFonts w:asciiTheme="minorHAnsi" w:hAnsiTheme="minorHAnsi" w:cstheme="minorHAnsi"/>
        </w:rPr>
        <w:t>Brandschütz, Wien</w:t>
      </w:r>
    </w:p>
    <w:p w14:paraId="34BD623B" w14:textId="07AC0100" w:rsidR="000641CB" w:rsidRPr="000F07B4" w:rsidRDefault="000641CB" w:rsidP="000641CB">
      <w:pPr>
        <w:pStyle w:val="KeinLeerraum"/>
        <w:ind w:left="-284"/>
        <w:rPr>
          <w:rFonts w:asciiTheme="minorHAnsi" w:hAnsiTheme="minorHAnsi" w:cstheme="minorHAnsi"/>
        </w:rPr>
      </w:pPr>
      <w:r>
        <w:rPr>
          <w:rFonts w:asciiTheme="minorHAnsi" w:hAnsiTheme="minorHAnsi" w:cstheme="minorHAnsi"/>
        </w:rPr>
        <w:tab/>
      </w:r>
      <w:r w:rsidRPr="000F07B4">
        <w:rPr>
          <w:rFonts w:asciiTheme="minorHAnsi" w:hAnsiTheme="minorHAnsi" w:cstheme="minorHAnsi"/>
        </w:rPr>
        <w:tab/>
        <w:t>Freiraumplanung:</w:t>
      </w:r>
      <w:r>
        <w:rPr>
          <w:rFonts w:asciiTheme="minorHAnsi" w:hAnsiTheme="minorHAnsi" w:cstheme="minorHAnsi"/>
        </w:rPr>
        <w:tab/>
      </w:r>
      <w:r w:rsidRPr="000F07B4">
        <w:rPr>
          <w:rFonts w:asciiTheme="minorHAnsi" w:hAnsiTheme="minorHAnsi" w:cstheme="minorHAnsi"/>
        </w:rPr>
        <w:t>Korbwurf, Wien</w:t>
      </w:r>
    </w:p>
    <w:p w14:paraId="606E46ED" w14:textId="77777777" w:rsidR="000641CB" w:rsidRPr="000F07B4" w:rsidRDefault="000641CB" w:rsidP="000641CB">
      <w:pPr>
        <w:pStyle w:val="KeinLeerraum"/>
        <w:ind w:left="-284"/>
        <w:rPr>
          <w:rFonts w:asciiTheme="minorHAnsi" w:hAnsiTheme="minorHAnsi" w:cstheme="minorHAnsi"/>
        </w:rPr>
      </w:pPr>
      <w:r w:rsidRPr="000F07B4">
        <w:rPr>
          <w:rFonts w:asciiTheme="minorHAnsi" w:hAnsiTheme="minorHAnsi" w:cstheme="minorHAnsi"/>
        </w:rPr>
        <w:t>Hoteldesign:</w:t>
      </w:r>
      <w:r w:rsidRPr="000F07B4">
        <w:rPr>
          <w:rFonts w:asciiTheme="minorHAnsi" w:hAnsiTheme="minorHAnsi" w:cstheme="minorHAnsi"/>
        </w:rPr>
        <w:tab/>
      </w:r>
      <w:r w:rsidRPr="000F07B4">
        <w:rPr>
          <w:rFonts w:asciiTheme="minorHAnsi" w:hAnsiTheme="minorHAnsi" w:cstheme="minorHAnsi"/>
        </w:rPr>
        <w:tab/>
        <w:t>Monika Breu / Zechner &amp; Zechner, Wien</w:t>
      </w:r>
    </w:p>
    <w:p w14:paraId="01A3D59B" w14:textId="77777777" w:rsidR="000641CB" w:rsidRPr="000F07B4" w:rsidRDefault="000641CB" w:rsidP="000641CB">
      <w:pPr>
        <w:pStyle w:val="KeinLeerraum"/>
        <w:ind w:left="-284"/>
        <w:rPr>
          <w:rFonts w:asciiTheme="minorHAnsi" w:hAnsiTheme="minorHAnsi" w:cstheme="minorHAnsi"/>
        </w:rPr>
      </w:pPr>
      <w:r w:rsidRPr="000F07B4">
        <w:rPr>
          <w:rFonts w:asciiTheme="minorHAnsi" w:hAnsiTheme="minorHAnsi" w:cstheme="minorHAnsi"/>
        </w:rPr>
        <w:t>Generalunternehmer:</w:t>
      </w:r>
      <w:r w:rsidRPr="000F07B4">
        <w:rPr>
          <w:rFonts w:asciiTheme="minorHAnsi" w:hAnsiTheme="minorHAnsi" w:cstheme="minorHAnsi"/>
        </w:rPr>
        <w:tab/>
        <w:t>ARGE Bodner / Dywidag</w:t>
      </w:r>
    </w:p>
    <w:p w14:paraId="0546572E" w14:textId="77777777" w:rsidR="000641CB" w:rsidRPr="000F07B4" w:rsidRDefault="000641CB" w:rsidP="000641CB">
      <w:pPr>
        <w:pStyle w:val="KeinLeerraum"/>
        <w:ind w:left="-284"/>
        <w:rPr>
          <w:rFonts w:asciiTheme="minorHAnsi" w:hAnsiTheme="minorHAnsi" w:cstheme="minorHAnsi"/>
          <w:lang w:eastAsia="de-AT"/>
        </w:rPr>
      </w:pPr>
      <w:r w:rsidRPr="000F07B4">
        <w:rPr>
          <w:rFonts w:asciiTheme="minorHAnsi" w:hAnsiTheme="minorHAnsi" w:cstheme="minorHAnsi"/>
          <w:lang w:eastAsia="de-AT"/>
        </w:rPr>
        <w:t>Fertigstellung:</w:t>
      </w:r>
      <w:r w:rsidRPr="000F07B4">
        <w:rPr>
          <w:rFonts w:asciiTheme="minorHAnsi" w:hAnsiTheme="minorHAnsi" w:cstheme="minorHAnsi"/>
          <w:lang w:eastAsia="de-AT"/>
        </w:rPr>
        <w:tab/>
      </w:r>
      <w:r w:rsidRPr="000F07B4">
        <w:rPr>
          <w:rFonts w:asciiTheme="minorHAnsi" w:hAnsiTheme="minorHAnsi" w:cstheme="minorHAnsi"/>
          <w:lang w:eastAsia="de-AT"/>
        </w:rPr>
        <w:tab/>
        <w:t>2026</w:t>
      </w:r>
    </w:p>
    <w:p w14:paraId="768B3834" w14:textId="77777777" w:rsidR="000641CB" w:rsidRPr="00397B02" w:rsidRDefault="000641CB" w:rsidP="000641CB">
      <w:pPr>
        <w:pStyle w:val="KeinLeerraum"/>
        <w:ind w:left="-284"/>
        <w:rPr>
          <w:rFonts w:asciiTheme="minorHAnsi" w:hAnsiTheme="minorHAnsi" w:cstheme="minorHAnsi"/>
          <w:szCs w:val="20"/>
        </w:rPr>
      </w:pPr>
      <w:r w:rsidRPr="00397B02">
        <w:rPr>
          <w:rFonts w:asciiTheme="minorHAnsi" w:hAnsiTheme="minorHAnsi" w:cstheme="minorHAnsi"/>
          <w:szCs w:val="20"/>
        </w:rPr>
        <w:t xml:space="preserve">Fotos: </w:t>
      </w:r>
      <w:r w:rsidRPr="00397B02">
        <w:rPr>
          <w:rFonts w:asciiTheme="minorHAnsi" w:hAnsiTheme="minorHAnsi" w:cstheme="minorHAnsi"/>
          <w:szCs w:val="20"/>
        </w:rPr>
        <w:tab/>
      </w:r>
      <w:r w:rsidRPr="00397B02">
        <w:rPr>
          <w:rFonts w:asciiTheme="minorHAnsi" w:hAnsiTheme="minorHAnsi" w:cstheme="minorHAnsi"/>
          <w:szCs w:val="20"/>
        </w:rPr>
        <w:tab/>
      </w:r>
      <w:r w:rsidRPr="00397B02">
        <w:rPr>
          <w:rFonts w:asciiTheme="minorHAnsi" w:hAnsiTheme="minorHAnsi" w:cstheme="minorHAnsi"/>
          <w:szCs w:val="20"/>
        </w:rPr>
        <w:tab/>
        <w:t>Pierer.net</w:t>
      </w:r>
    </w:p>
    <w:p w14:paraId="55F82CF1" w14:textId="77777777" w:rsidR="000641CB" w:rsidRDefault="000641CB" w:rsidP="000641CB">
      <w:pPr>
        <w:pStyle w:val="KeinLeerraum"/>
        <w:ind w:left="-284"/>
        <w:rPr>
          <w:rFonts w:asciiTheme="minorHAnsi" w:hAnsiTheme="minorHAnsi" w:cstheme="minorHAnsi"/>
          <w:szCs w:val="20"/>
        </w:rPr>
      </w:pPr>
    </w:p>
    <w:p w14:paraId="2CE0F27E" w14:textId="77777777" w:rsidR="000641CB" w:rsidRPr="003350DD" w:rsidRDefault="000641CB" w:rsidP="000641CB">
      <w:pPr>
        <w:pStyle w:val="KeinLeerraum"/>
        <w:ind w:left="-284"/>
        <w:rPr>
          <w:rFonts w:asciiTheme="minorHAnsi" w:hAnsiTheme="minorHAnsi" w:cstheme="minorHAnsi"/>
          <w:b/>
          <w:bCs/>
          <w:szCs w:val="20"/>
        </w:rPr>
      </w:pPr>
      <w:r w:rsidRPr="003350DD">
        <w:rPr>
          <w:rFonts w:asciiTheme="minorHAnsi" w:hAnsiTheme="minorHAnsi" w:cstheme="minorHAnsi"/>
          <w:b/>
          <w:bCs/>
          <w:szCs w:val="20"/>
        </w:rPr>
        <w:t>Pressekontakt:</w:t>
      </w:r>
    </w:p>
    <w:p w14:paraId="4CC3968D" w14:textId="77777777" w:rsidR="000641CB" w:rsidRDefault="000641CB" w:rsidP="000641CB">
      <w:pPr>
        <w:pStyle w:val="KeinLeerraum"/>
        <w:ind w:left="-284"/>
        <w:rPr>
          <w:rFonts w:asciiTheme="minorHAnsi" w:hAnsiTheme="minorHAnsi" w:cstheme="minorHAnsi"/>
          <w:szCs w:val="20"/>
        </w:rPr>
      </w:pPr>
      <w:r>
        <w:rPr>
          <w:rFonts w:asciiTheme="minorHAnsi" w:hAnsiTheme="minorHAnsi" w:cstheme="minorHAnsi"/>
          <w:szCs w:val="20"/>
        </w:rPr>
        <w:t>Zechner &amp; Zechner ZTGmbH, Stumpergasse 14/23, 1060 Wien; T: +43/1/597 03 36, www.zechner.com</w:t>
      </w:r>
    </w:p>
    <w:p w14:paraId="067383B5" w14:textId="77777777" w:rsidR="000641CB" w:rsidRDefault="000641CB" w:rsidP="000641CB">
      <w:pPr>
        <w:pStyle w:val="KeinLeerraum"/>
        <w:ind w:left="-284"/>
        <w:rPr>
          <w:rFonts w:asciiTheme="minorHAnsi" w:hAnsiTheme="minorHAnsi" w:cstheme="minorHAnsi"/>
          <w:szCs w:val="20"/>
        </w:rPr>
      </w:pPr>
      <w:hyperlink r:id="rId4" w:history="1">
        <w:r w:rsidRPr="00C91C84">
          <w:rPr>
            <w:rStyle w:val="Hyperlink"/>
            <w:rFonts w:asciiTheme="minorHAnsi" w:hAnsiTheme="minorHAnsi" w:cstheme="minorHAnsi"/>
            <w:szCs w:val="20"/>
          </w:rPr>
          <w:t>pressinformation@zechner.com</w:t>
        </w:r>
      </w:hyperlink>
    </w:p>
    <w:p w14:paraId="724BB998" w14:textId="77777777" w:rsidR="000641CB" w:rsidRPr="00C273B0" w:rsidRDefault="000641CB" w:rsidP="000641CB">
      <w:pPr>
        <w:ind w:left="-284" w:right="-284"/>
      </w:pPr>
    </w:p>
    <w:sectPr w:rsidR="000641CB" w:rsidRPr="00C273B0" w:rsidSect="00366E06">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BA"/>
    <w:rsid w:val="000170CD"/>
    <w:rsid w:val="000641CB"/>
    <w:rsid w:val="000F259E"/>
    <w:rsid w:val="00366E06"/>
    <w:rsid w:val="004B177D"/>
    <w:rsid w:val="00553C44"/>
    <w:rsid w:val="00582EBA"/>
    <w:rsid w:val="006E289C"/>
    <w:rsid w:val="00C273B0"/>
    <w:rsid w:val="00DC239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1027"/>
  <w15:chartTrackingRefBased/>
  <w15:docId w15:val="{D82929C1-354B-4BBA-B4A7-E7F8DB728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2E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582E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582EBA"/>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582EBA"/>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582EBA"/>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582EB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2EB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2EB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2EB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2EB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582EB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582EB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582EB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582EB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582EB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2EB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2EB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2EBA"/>
    <w:rPr>
      <w:rFonts w:eastAsiaTheme="majorEastAsia" w:cstheme="majorBidi"/>
      <w:color w:val="272727" w:themeColor="text1" w:themeTint="D8"/>
    </w:rPr>
  </w:style>
  <w:style w:type="paragraph" w:styleId="Titel">
    <w:name w:val="Title"/>
    <w:basedOn w:val="Standard"/>
    <w:next w:val="Standard"/>
    <w:link w:val="TitelZchn"/>
    <w:uiPriority w:val="10"/>
    <w:qFormat/>
    <w:rsid w:val="00582E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2EB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2EB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2EB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2EB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2EBA"/>
    <w:rPr>
      <w:i/>
      <w:iCs/>
      <w:color w:val="404040" w:themeColor="text1" w:themeTint="BF"/>
    </w:rPr>
  </w:style>
  <w:style w:type="paragraph" w:styleId="Listenabsatz">
    <w:name w:val="List Paragraph"/>
    <w:basedOn w:val="Standard"/>
    <w:uiPriority w:val="34"/>
    <w:qFormat/>
    <w:rsid w:val="00582EBA"/>
    <w:pPr>
      <w:ind w:left="720"/>
      <w:contextualSpacing/>
    </w:pPr>
  </w:style>
  <w:style w:type="character" w:styleId="IntensiveHervorhebung">
    <w:name w:val="Intense Emphasis"/>
    <w:basedOn w:val="Absatz-Standardschriftart"/>
    <w:uiPriority w:val="21"/>
    <w:qFormat/>
    <w:rsid w:val="00582EBA"/>
    <w:rPr>
      <w:i/>
      <w:iCs/>
      <w:color w:val="2F5496" w:themeColor="accent1" w:themeShade="BF"/>
    </w:rPr>
  </w:style>
  <w:style w:type="paragraph" w:styleId="IntensivesZitat">
    <w:name w:val="Intense Quote"/>
    <w:basedOn w:val="Standard"/>
    <w:next w:val="Standard"/>
    <w:link w:val="IntensivesZitatZchn"/>
    <w:uiPriority w:val="30"/>
    <w:qFormat/>
    <w:rsid w:val="00582E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582EBA"/>
    <w:rPr>
      <w:i/>
      <w:iCs/>
      <w:color w:val="2F5496" w:themeColor="accent1" w:themeShade="BF"/>
    </w:rPr>
  </w:style>
  <w:style w:type="character" w:styleId="IntensiverVerweis">
    <w:name w:val="Intense Reference"/>
    <w:basedOn w:val="Absatz-Standardschriftart"/>
    <w:uiPriority w:val="32"/>
    <w:qFormat/>
    <w:rsid w:val="00582EBA"/>
    <w:rPr>
      <w:b/>
      <w:bCs/>
      <w:smallCaps/>
      <w:color w:val="2F5496" w:themeColor="accent1" w:themeShade="BF"/>
      <w:spacing w:val="5"/>
    </w:rPr>
  </w:style>
  <w:style w:type="paragraph" w:styleId="KeinLeerraum">
    <w:name w:val="No Spacing"/>
    <w:aliases w:val="Aufzählung"/>
    <w:uiPriority w:val="1"/>
    <w:qFormat/>
    <w:rsid w:val="000641CB"/>
    <w:pPr>
      <w:spacing w:after="0" w:line="360" w:lineRule="auto"/>
    </w:pPr>
    <w:rPr>
      <w:rFonts w:ascii="Arial" w:hAnsi="Arial"/>
      <w:sz w:val="20"/>
      <w:lang w:val="de-DE"/>
    </w:rPr>
  </w:style>
  <w:style w:type="character" w:styleId="Hyperlink">
    <w:name w:val="Hyperlink"/>
    <w:basedOn w:val="Absatz-Standardschriftart"/>
    <w:uiPriority w:val="99"/>
    <w:unhideWhenUsed/>
    <w:rsid w:val="000641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essinformation@zechne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3534</Characters>
  <Application>Microsoft Office Word</Application>
  <DocSecurity>0</DocSecurity>
  <Lines>29</Lines>
  <Paragraphs>8</Paragraphs>
  <ScaleCrop>false</ScaleCrop>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email@zechner.com</dc:creator>
  <cp:keywords/>
  <dc:description/>
  <cp:lastModifiedBy>email@zechner.com</cp:lastModifiedBy>
  <cp:revision>7</cp:revision>
  <dcterms:created xsi:type="dcterms:W3CDTF">2026-05-02T11:02:00Z</dcterms:created>
  <dcterms:modified xsi:type="dcterms:W3CDTF">2026-05-02T11:07:00Z</dcterms:modified>
</cp:coreProperties>
</file>